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249" w:rsidRPr="000C77F5" w:rsidRDefault="000C77F5">
      <w:pPr>
        <w:rPr>
          <w:rFonts w:ascii="Helvetica" w:eastAsia="Times New Roman" w:hAnsi="Helvetica" w:cs="Helvetica"/>
          <w:color w:val="000000"/>
          <w:sz w:val="28"/>
          <w:szCs w:val="21"/>
        </w:rPr>
      </w:pPr>
      <w:r w:rsidRPr="000C77F5">
        <w:rPr>
          <w:rFonts w:ascii="Helvetica" w:eastAsia="Times New Roman" w:hAnsi="Helvetica" w:cs="Helvetica"/>
          <w:color w:val="000000"/>
          <w:sz w:val="28"/>
          <w:szCs w:val="21"/>
        </w:rPr>
        <w:t>Copyright Details:</w:t>
      </w:r>
    </w:p>
    <w:p w:rsidR="000C77F5" w:rsidRPr="000C77F5" w:rsidRDefault="000C77F5" w:rsidP="000C77F5">
      <w:pPr>
        <w:pStyle w:val="NormalWeb"/>
        <w:shd w:val="clear" w:color="auto" w:fill="FFFFFF"/>
        <w:spacing w:before="0" w:beforeAutospacing="0" w:after="150" w:afterAutospacing="0"/>
        <w:rPr>
          <w:rFonts w:ascii="Helvetica" w:hAnsi="Helvetica" w:cs="Helvetica"/>
          <w:color w:val="000000"/>
          <w:sz w:val="28"/>
          <w:szCs w:val="21"/>
        </w:rPr>
      </w:pPr>
      <w:r w:rsidRPr="000C77F5">
        <w:rPr>
          <w:rFonts w:ascii="Helvetica" w:hAnsi="Helvetica" w:cs="Helvetica"/>
          <w:color w:val="000000"/>
          <w:sz w:val="28"/>
          <w:szCs w:val="21"/>
        </w:rPr>
        <w:t>OSHA 3088</w:t>
      </w:r>
      <w:r w:rsidRPr="000C77F5">
        <w:rPr>
          <w:rFonts w:ascii="Helvetica" w:hAnsi="Helvetica" w:cs="Helvetica"/>
          <w:color w:val="000000"/>
          <w:sz w:val="28"/>
          <w:szCs w:val="21"/>
        </w:rPr>
        <w:br/>
        <w:t>2001 (Revised)</w:t>
      </w:r>
    </w:p>
    <w:p w:rsidR="000C77F5" w:rsidRPr="000C77F5" w:rsidRDefault="000C77F5" w:rsidP="000C77F5">
      <w:pPr>
        <w:pStyle w:val="NormalWeb"/>
        <w:shd w:val="clear" w:color="auto" w:fill="FFFFFF"/>
        <w:spacing w:before="0" w:beforeAutospacing="0" w:after="150" w:afterAutospacing="0"/>
        <w:rPr>
          <w:rFonts w:ascii="Helvetica" w:hAnsi="Helvetica" w:cs="Helvetica"/>
          <w:b/>
          <w:color w:val="000000"/>
          <w:sz w:val="28"/>
          <w:szCs w:val="21"/>
          <w:u w:val="single"/>
        </w:rPr>
      </w:pPr>
      <w:r w:rsidRPr="000C77F5">
        <w:rPr>
          <w:rFonts w:ascii="Helvetica" w:hAnsi="Helvetica" w:cs="Helvetica"/>
          <w:color w:val="000000"/>
          <w:sz w:val="28"/>
          <w:szCs w:val="21"/>
        </w:rPr>
        <w:t xml:space="preserve">This booklet provides a generic overview of a standards-related </w:t>
      </w:r>
      <w:r w:rsidRPr="000C77F5">
        <w:rPr>
          <w:rFonts w:ascii="Helvetica" w:hAnsi="Helvetica" w:cs="Helvetica"/>
          <w:color w:val="000000"/>
          <w:sz w:val="28"/>
          <w:szCs w:val="21"/>
        </w:rPr>
        <w:t>topic. This</w:t>
      </w:r>
      <w:r w:rsidRPr="000C77F5">
        <w:rPr>
          <w:rFonts w:ascii="Helvetica" w:hAnsi="Helvetica" w:cs="Helvetica"/>
          <w:color w:val="000000"/>
          <w:sz w:val="28"/>
          <w:szCs w:val="21"/>
        </w:rPr>
        <w:t xml:space="preserve"> publication does not alter or determine compliance responsibilities, which are described in the OSHA standards and the Occupational Safety and Health Act. Because int</w:t>
      </w:r>
      <w:bookmarkStart w:id="0" w:name="_GoBack"/>
      <w:bookmarkEnd w:id="0"/>
      <w:r w:rsidRPr="000C77F5">
        <w:rPr>
          <w:rFonts w:ascii="Helvetica" w:hAnsi="Helvetica" w:cs="Helvetica"/>
          <w:color w:val="000000"/>
          <w:sz w:val="28"/>
          <w:szCs w:val="21"/>
        </w:rPr>
        <w:t xml:space="preserve">erpretations and enforcement policy may change over time, the best sources for additional guidance on OSHA compliance requirements are current administrative interpretations and decisions by the Occupational Safety and Health Review Commission and the </w:t>
      </w:r>
      <w:r w:rsidRPr="000C77F5">
        <w:rPr>
          <w:rFonts w:ascii="Helvetica" w:hAnsi="Helvetica" w:cs="Helvetica"/>
          <w:color w:val="000000"/>
          <w:sz w:val="28"/>
          <w:szCs w:val="21"/>
        </w:rPr>
        <w:t xml:space="preserve">courts. </w:t>
      </w:r>
      <w:r w:rsidRPr="000C77F5">
        <w:rPr>
          <w:rFonts w:ascii="Helvetica" w:hAnsi="Helvetica" w:cs="Helvetica"/>
          <w:b/>
          <w:color w:val="000000"/>
          <w:sz w:val="28"/>
          <w:szCs w:val="21"/>
          <w:u w:val="single"/>
        </w:rPr>
        <w:t>This</w:t>
      </w:r>
      <w:r w:rsidRPr="000C77F5">
        <w:rPr>
          <w:rFonts w:ascii="Helvetica" w:hAnsi="Helvetica" w:cs="Helvetica"/>
          <w:b/>
          <w:color w:val="000000"/>
          <w:sz w:val="28"/>
          <w:szCs w:val="21"/>
          <w:u w:val="single"/>
        </w:rPr>
        <w:t xml:space="preserve"> publication is in the public domain and may be reproduced fully or partially without permission. Source credit is requested but not required.</w:t>
      </w:r>
    </w:p>
    <w:p w:rsidR="000C77F5" w:rsidRPr="000C77F5" w:rsidRDefault="000C77F5">
      <w:pPr>
        <w:rPr>
          <w:sz w:val="32"/>
        </w:rPr>
      </w:pPr>
    </w:p>
    <w:sectPr w:rsidR="000C77F5" w:rsidRPr="000C77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7F5"/>
    <w:rsid w:val="000C77F5"/>
    <w:rsid w:val="003F4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39603"/>
  <w15:chartTrackingRefBased/>
  <w15:docId w15:val="{694E880C-AA9F-452E-B586-BB3868E2C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77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46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RAZA ALI BOKHARI</dc:creator>
  <cp:keywords/>
  <dc:description/>
  <cp:lastModifiedBy>SYED RAZA ALI BOKHARI</cp:lastModifiedBy>
  <cp:revision>1</cp:revision>
  <dcterms:created xsi:type="dcterms:W3CDTF">2019-07-10T14:01:00Z</dcterms:created>
  <dcterms:modified xsi:type="dcterms:W3CDTF">2019-07-10T14:02:00Z</dcterms:modified>
</cp:coreProperties>
</file>